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7F32D5FD"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0D58BB" w:rsidRPr="00986525">
        <w:rPr>
          <w:rFonts w:asciiTheme="minorHAnsi" w:hAnsiTheme="minorHAnsi" w:cstheme="minorHAnsi"/>
        </w:rPr>
        <w:t xml:space="preserve"> № 1</w:t>
      </w:r>
      <w:r w:rsidR="004202B4">
        <w:rPr>
          <w:rFonts w:asciiTheme="minorHAnsi" w:hAnsiTheme="minorHAnsi" w:cstheme="minorHAnsi"/>
        </w:rPr>
        <w:t>6</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77777777" w:rsidR="00E46F62" w:rsidRPr="00986525" w:rsidRDefault="00E46F62"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Акционерное общество «Русагротранс»</w:t>
      </w:r>
      <w:r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Pr="00986525">
        <w:rPr>
          <w:rFonts w:asciiTheme="minorHAnsi" w:hAnsiTheme="minorHAnsi" w:cstheme="minorHAnsi"/>
          <w:sz w:val="24"/>
          <w:szCs w:val="24"/>
        </w:rPr>
        <w:t xml:space="preserve">, именуемое в дальнейшем </w:t>
      </w:r>
      <w:r w:rsidRPr="00986525">
        <w:rPr>
          <w:rFonts w:asciiTheme="minorHAnsi" w:hAnsiTheme="minorHAnsi" w:cstheme="minorHAnsi"/>
          <w:b/>
          <w:sz w:val="24"/>
          <w:szCs w:val="24"/>
        </w:rPr>
        <w:t>«Продавец»</w:t>
      </w:r>
      <w:r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7777777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АО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 xml:space="preserve">лучае </w:t>
      </w:r>
      <w:proofErr w:type="spellStart"/>
      <w:r w:rsidR="00E16327" w:rsidRPr="00986525">
        <w:rPr>
          <w:rFonts w:asciiTheme="minorHAnsi" w:hAnsiTheme="minorHAnsi" w:cstheme="minorHAnsi"/>
          <w:sz w:val="24"/>
          <w:szCs w:val="24"/>
        </w:rPr>
        <w:t>не</w:t>
      </w:r>
      <w:r w:rsidRPr="00986525">
        <w:rPr>
          <w:rFonts w:asciiTheme="minorHAnsi" w:hAnsiTheme="minorHAnsi" w:cstheme="minorHAnsi"/>
          <w:sz w:val="24"/>
          <w:szCs w:val="24"/>
        </w:rPr>
        <w:t>подписания</w:t>
      </w:r>
      <w:proofErr w:type="spellEnd"/>
      <w:r w:rsidRPr="00986525">
        <w:rPr>
          <w:rFonts w:asciiTheme="minorHAnsi" w:hAnsiTheme="minorHAnsi" w:cstheme="minorHAnsi"/>
          <w:sz w:val="24"/>
          <w:szCs w:val="24"/>
        </w:rPr>
        <w:t xml:space="preserve">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 xml:space="preserve">Акционерное общество </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7701810253</w:t>
            </w:r>
            <w:r w:rsidR="00061BB4" w:rsidRPr="00986525">
              <w:rPr>
                <w:rFonts w:asciiTheme="minorHAnsi" w:hAnsiTheme="minorHAnsi" w:cstheme="minorHAnsi"/>
                <w:sz w:val="24"/>
                <w:szCs w:val="24"/>
              </w:rPr>
              <w:t>/</w:t>
            </w:r>
            <w:r w:rsidRPr="00986525">
              <w:rPr>
                <w:rFonts w:asciiTheme="minorHAnsi" w:hAnsiTheme="minorHAnsi" w:cstheme="minorHAnsi"/>
                <w:sz w:val="24"/>
                <w:szCs w:val="24"/>
              </w:rPr>
              <w:t>775050001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26BC6FAC"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0C714CB5"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9502B4" w:rsidRPr="00986525">
        <w:rPr>
          <w:rFonts w:asciiTheme="minorHAnsi" w:eastAsia="Times New Roman" w:hAnsiTheme="minorHAnsi" w:cstheme="minorHAnsi"/>
          <w:b/>
          <w:sz w:val="24"/>
          <w:szCs w:val="24"/>
          <w:lang w:val="en-US" w:eastAsia="ru-RU"/>
        </w:rPr>
        <w:t>2</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w:t>
            </w:r>
            <w:proofErr w:type="spellStart"/>
            <w:r w:rsidRPr="00986525">
              <w:rPr>
                <w:rFonts w:asciiTheme="minorHAnsi" w:hAnsiTheme="minorHAnsi" w:cstheme="minorHAnsi"/>
                <w:b/>
                <w:bCs/>
                <w:color w:val="000000"/>
                <w:sz w:val="16"/>
                <w:szCs w:val="16"/>
              </w:rPr>
              <w:t>изготовле-ния</w:t>
            </w:r>
            <w:proofErr w:type="spellEnd"/>
            <w:r w:rsidRPr="00986525">
              <w:rPr>
                <w:rFonts w:asciiTheme="minorHAnsi" w:hAnsiTheme="minorHAnsi" w:cstheme="minorHAns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изготовления </w:t>
            </w:r>
            <w:proofErr w:type="spellStart"/>
            <w:r w:rsidRPr="00986525">
              <w:rPr>
                <w:rFonts w:asciiTheme="minorHAnsi" w:hAnsiTheme="minorHAnsi" w:cstheme="minorHAnsi"/>
                <w:b/>
                <w:bCs/>
                <w:color w:val="000000"/>
                <w:sz w:val="16"/>
                <w:szCs w:val="16"/>
              </w:rPr>
              <w:t>надрессорных</w:t>
            </w:r>
            <w:proofErr w:type="spellEnd"/>
            <w:r w:rsidRPr="00986525">
              <w:rPr>
                <w:rFonts w:asciiTheme="minorHAnsi" w:hAnsiTheme="minorHAnsi" w:cstheme="minorHAns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  (</w:t>
      </w:r>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01266E24"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9502B4" w:rsidRPr="00986525">
        <w:rPr>
          <w:rFonts w:asciiTheme="minorHAnsi" w:eastAsiaTheme="minorHAnsi" w:hAnsiTheme="minorHAnsi" w:cstheme="minorHAnsi"/>
          <w:sz w:val="24"/>
          <w:szCs w:val="24"/>
        </w:rPr>
        <w:t>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7AE61564"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9502B4" w:rsidRPr="00986525">
        <w:rPr>
          <w:rFonts w:asciiTheme="minorHAnsi" w:hAnsiTheme="minorHAnsi" w:cstheme="minorHAnsi"/>
          <w:b/>
          <w:bCs/>
          <w:sz w:val="24"/>
          <w:szCs w:val="24"/>
        </w:rPr>
        <w:t>2</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1B8E94B" w:rsidR="0007687E" w:rsidRPr="00986525" w:rsidRDefault="0007687E" w:rsidP="009502B4">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9502B4" w:rsidRPr="00986525">
              <w:rPr>
                <w:rFonts w:asciiTheme="minorHAnsi" w:hAnsiTheme="minorHAnsi" w:cstheme="minorHAnsi"/>
                <w:bCs/>
                <w:sz w:val="24"/>
                <w:szCs w:val="24"/>
                <w:lang w:val="en-US"/>
              </w:rPr>
              <w:t>2</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77777777"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w:t>
      </w:r>
      <w:proofErr w:type="spellStart"/>
      <w:r w:rsidRPr="00986525">
        <w:rPr>
          <w:rFonts w:asciiTheme="minorHAnsi" w:eastAsiaTheme="minorHAnsi" w:hAnsiTheme="minorHAnsi" w:cstheme="minorHAnsi"/>
          <w:sz w:val="24"/>
          <w:szCs w:val="24"/>
        </w:rPr>
        <w:t>руб</w:t>
      </w:r>
      <w:proofErr w:type="spellEnd"/>
      <w:r w:rsidRPr="00986525">
        <w:rPr>
          <w:rFonts w:asciiTheme="minorHAnsi" w:eastAsiaTheme="minorHAnsi" w:hAnsiTheme="minorHAnsi" w:cstheme="minorHAnsi"/>
          <w:sz w:val="24"/>
          <w:szCs w:val="24"/>
        </w:rPr>
        <w:t>. (_____________) руб. ______ коп., в том числе НДС__%  (_____________)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7594ADF"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2022</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  _______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_______года  №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за период  __________года.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Расходы Продавца: ___________________ 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Агентское вознаграждение Продавца: _________________руб.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385CA0BE"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9502B4" w:rsidRPr="00986525">
        <w:rPr>
          <w:rFonts w:asciiTheme="minorHAnsi" w:eastAsiaTheme="minorHAnsi" w:hAnsiTheme="minorHAnsi" w:cstheme="minorHAnsi"/>
          <w:sz w:val="24"/>
          <w:szCs w:val="24"/>
          <w:lang w:val="en-US"/>
        </w:rPr>
        <w:t>2</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w:t>
      </w:r>
      <w:proofErr w:type="spellStart"/>
      <w:r w:rsidRPr="00986525">
        <w:rPr>
          <w:rFonts w:asciiTheme="minorHAnsi" w:hAnsiTheme="minorHAnsi" w:cstheme="minorHAnsi"/>
          <w:szCs w:val="24"/>
        </w:rPr>
        <w:t>г.Москва</w:t>
      </w:r>
      <w:proofErr w:type="spellEnd"/>
      <w:r w:rsidRPr="00986525">
        <w:rPr>
          <w:rFonts w:asciiTheme="minorHAnsi" w:hAnsiTheme="minorHAnsi" w:cstheme="minorHAnsi"/>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 xml:space="preserve">ВСЕГО: Расходы Покупателя __________________ руб., в том числе НДС 20%_____________ (руб.)__________(коп.)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расходов)__________________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r w:rsidRPr="00986525">
        <w:rPr>
          <w:rFonts w:asciiTheme="minorHAnsi" w:hAnsiTheme="minorHAnsi" w:cstheme="minorHAnsi"/>
          <w:sz w:val="20"/>
        </w:rPr>
        <w:t xml:space="preserve">Продавец: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02B4"/>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6213"/>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6DA3-E070-4A13-A465-D42D1BB3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17</cp:revision>
  <cp:lastPrinted>2019-12-18T07:56:00Z</cp:lastPrinted>
  <dcterms:created xsi:type="dcterms:W3CDTF">2021-02-02T10:09:00Z</dcterms:created>
  <dcterms:modified xsi:type="dcterms:W3CDTF">2023-01-31T08:54:00Z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